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979" w:rsidRDefault="00167979" w:rsidP="00167979">
      <w:pPr>
        <w:pStyle w:val="tablelist4"/>
        <w:jc w:val="right"/>
        <w:rPr>
          <w:rFonts w:ascii="Calibri" w:hAnsi="Calibri" w:cs="Calibri"/>
          <w:b/>
          <w:sz w:val="42"/>
          <w:szCs w:val="42"/>
        </w:rPr>
      </w:pPr>
    </w:p>
    <w:p w:rsidR="00167979" w:rsidRDefault="00167979" w:rsidP="00167979">
      <w:pPr>
        <w:pStyle w:val="tablelist4"/>
        <w:jc w:val="center"/>
        <w:rPr>
          <w:rFonts w:ascii="Calibri" w:hAnsi="Calibri" w:cs="Calibri"/>
          <w:b/>
          <w:sz w:val="42"/>
          <w:szCs w:val="42"/>
        </w:rPr>
      </w:pPr>
    </w:p>
    <w:p w:rsidR="00167979" w:rsidRPr="00AE2B18" w:rsidRDefault="00167979" w:rsidP="00167979">
      <w:pPr>
        <w:pStyle w:val="tablelist4"/>
        <w:jc w:val="center"/>
        <w:rPr>
          <w:rFonts w:ascii="Calibri" w:hAnsi="Calibri" w:cs="Calibri"/>
          <w:b/>
          <w:sz w:val="15"/>
          <w:szCs w:val="15"/>
        </w:rPr>
      </w:pPr>
      <w:r w:rsidRPr="00AE2B18">
        <w:rPr>
          <w:rFonts w:ascii="Calibri" w:hAnsi="Calibri" w:cs="Calibri"/>
          <w:b/>
          <w:sz w:val="42"/>
          <w:szCs w:val="42"/>
        </w:rPr>
        <w:t>Corporate Banking Portfolio Manager-180016766</w:t>
      </w:r>
    </w:p>
    <w:p w:rsidR="00167979" w:rsidRPr="00AE2B18" w:rsidRDefault="00167979" w:rsidP="00167979">
      <w:pPr>
        <w:pStyle w:val="tablelist4"/>
        <w:rPr>
          <w:rFonts w:ascii="Calibri" w:hAnsi="Calibri" w:cs="Calibri"/>
          <w:sz w:val="15"/>
          <w:szCs w:val="15"/>
        </w:rPr>
      </w:pPr>
      <w:r w:rsidRPr="00AE2B18">
        <w:rPr>
          <w:rStyle w:val="inline"/>
          <w:rFonts w:ascii="Calibri" w:hAnsi="Calibri" w:cs="Calibri"/>
          <w:sz w:val="15"/>
          <w:szCs w:val="15"/>
        </w:rPr>
        <w:t> </w:t>
      </w:r>
      <w:r w:rsidRPr="00AE2B18">
        <w:rPr>
          <w:rFonts w:ascii="Calibri" w:hAnsi="Calibri" w:cs="Calibri"/>
        </w:rPr>
        <w:t>At U.S. Bank, we're passionate about helping customers and the communities where we live and work. The fifth-largest bank in the United States, we’re one of the country's most respected, innovative and successful financial institutions. U.S. Bank is an equal opportunity employer committed to creating a diverse workforce. We consider all qualified applicants without regard to race, religion, color, sex, national origin, age, sexual orientation, gender identity, disability or veteran status, among other factors.</w:t>
      </w:r>
    </w:p>
    <w:p w:rsidR="00167979" w:rsidRDefault="00167979" w:rsidP="00167979">
      <w:pPr>
        <w:pStyle w:val="text6"/>
        <w:rPr>
          <w:rFonts w:ascii="Calibri" w:hAnsi="Calibri" w:cs="Calibri"/>
          <w:b/>
          <w:color w:val="auto"/>
          <w:sz w:val="24"/>
          <w:szCs w:val="24"/>
        </w:rPr>
      </w:pPr>
      <w:r w:rsidRPr="00AE2B18">
        <w:rPr>
          <w:rFonts w:ascii="Calibri" w:hAnsi="Calibri" w:cs="Calibri"/>
          <w:b/>
          <w:color w:val="auto"/>
          <w:sz w:val="24"/>
          <w:szCs w:val="24"/>
        </w:rPr>
        <w:t>Responsibilities include:</w:t>
      </w:r>
    </w:p>
    <w:p w:rsidR="00167979" w:rsidRPr="00167979" w:rsidRDefault="00167979" w:rsidP="00167979">
      <w:pPr>
        <w:pStyle w:val="text6"/>
        <w:rPr>
          <w:rFonts w:ascii="Calibri" w:hAnsi="Calibri" w:cs="Calibri"/>
          <w:b/>
          <w:color w:val="auto"/>
          <w:sz w:val="24"/>
          <w:szCs w:val="24"/>
        </w:rPr>
      </w:pPr>
      <w:r w:rsidRPr="00AE2B18">
        <w:rPr>
          <w:rFonts w:ascii="Calibri" w:hAnsi="Calibri" w:cs="Calibri"/>
          <w:color w:val="auto"/>
          <w:sz w:val="24"/>
          <w:szCs w:val="24"/>
        </w:rPr>
        <w:t xml:space="preserve">Underwriting all types of credit account exposure, managing an assigned credit portfolio, successfully closing new business relationships and expanding existing relationships, managing credit risk and responding to prospect or customer credit questions and making independent calls on assigned portfolio of relationships. Secondarily, provides customer service, participates in joint sales calls with Relationship Manager(s) and identifies cross-sell opportunities. </w:t>
      </w:r>
    </w:p>
    <w:p w:rsidR="00167979" w:rsidRPr="00D14D9F" w:rsidRDefault="00167979" w:rsidP="00167979">
      <w:pPr>
        <w:pStyle w:val="text6"/>
        <w:rPr>
          <w:rFonts w:ascii="Calibri" w:hAnsi="Calibri" w:cs="Calibri"/>
          <w:b/>
          <w:color w:val="auto"/>
          <w:sz w:val="24"/>
          <w:szCs w:val="24"/>
        </w:rPr>
      </w:pPr>
      <w:r>
        <w:rPr>
          <w:rFonts w:ascii="Calibri" w:hAnsi="Calibri" w:cs="Calibri"/>
          <w:b/>
          <w:color w:val="auto"/>
          <w:sz w:val="24"/>
          <w:szCs w:val="24"/>
        </w:rPr>
        <w:t xml:space="preserve">Some </w:t>
      </w:r>
      <w:r w:rsidRPr="00D14D9F">
        <w:rPr>
          <w:rFonts w:ascii="Calibri" w:hAnsi="Calibri" w:cs="Calibri"/>
          <w:b/>
          <w:color w:val="auto"/>
          <w:sz w:val="24"/>
          <w:szCs w:val="24"/>
        </w:rPr>
        <w:t>essential functions include:</w:t>
      </w:r>
    </w:p>
    <w:p w:rsidR="00167979" w:rsidRPr="00167979" w:rsidRDefault="00167979" w:rsidP="00167979">
      <w:pPr>
        <w:pStyle w:val="text6"/>
        <w:numPr>
          <w:ilvl w:val="0"/>
          <w:numId w:val="1"/>
        </w:numPr>
        <w:rPr>
          <w:rFonts w:ascii="Calibri" w:hAnsi="Calibri" w:cs="Calibri"/>
          <w:color w:val="auto"/>
          <w:sz w:val="24"/>
          <w:szCs w:val="24"/>
        </w:rPr>
      </w:pPr>
      <w:r w:rsidRPr="00167979">
        <w:rPr>
          <w:rFonts w:ascii="Calibri" w:hAnsi="Calibri" w:cs="Calibri"/>
          <w:color w:val="auto"/>
          <w:sz w:val="24"/>
          <w:szCs w:val="24"/>
        </w:rPr>
        <w:t>Accountable for credit relationships with nonprofit entities within assigned portfolio. Managing a portfolio of direct and syndicated complex credits to corporate banking customers with cash and investments over $250 million and commercial banking customers with total credit exposure of at least $25 million.   Sectors covered include Higher Education (Public and Private), Independent Schools, Cultural institutions, Social Service entities and Religious organizations.</w:t>
      </w:r>
    </w:p>
    <w:p w:rsidR="00167979" w:rsidRPr="00167979" w:rsidRDefault="00167979" w:rsidP="00167979">
      <w:pPr>
        <w:pStyle w:val="text6"/>
        <w:numPr>
          <w:ilvl w:val="0"/>
          <w:numId w:val="1"/>
        </w:numPr>
        <w:rPr>
          <w:rFonts w:ascii="Calibri" w:hAnsi="Calibri" w:cs="Calibri"/>
          <w:color w:val="auto"/>
          <w:sz w:val="24"/>
          <w:szCs w:val="24"/>
        </w:rPr>
      </w:pPr>
      <w:r w:rsidRPr="00167979">
        <w:rPr>
          <w:rFonts w:ascii="Calibri" w:hAnsi="Calibri" w:cs="Calibri"/>
          <w:color w:val="auto"/>
          <w:sz w:val="24"/>
          <w:szCs w:val="24"/>
        </w:rPr>
        <w:t>Manages an assigned credit portfolio, (activities include analysis and underwriting, complex projection scenarios, acquisition analysis, credit request preparation and presentation to senior credit approval levels, portfolio monitoring and tracking for covenant and policy compliance, documentation negotiation with legal counsel) and maintains acceptable credit quality standards.</w:t>
      </w:r>
    </w:p>
    <w:p w:rsidR="00167979" w:rsidRPr="00167979" w:rsidRDefault="00167979" w:rsidP="00167979">
      <w:pPr>
        <w:pStyle w:val="text6"/>
        <w:numPr>
          <w:ilvl w:val="0"/>
          <w:numId w:val="1"/>
        </w:numPr>
        <w:rPr>
          <w:rFonts w:ascii="Calibri" w:hAnsi="Calibri" w:cs="Calibri"/>
          <w:color w:val="auto"/>
          <w:sz w:val="24"/>
          <w:szCs w:val="24"/>
        </w:rPr>
      </w:pPr>
      <w:r w:rsidRPr="00167979">
        <w:rPr>
          <w:rFonts w:ascii="Calibri" w:hAnsi="Calibri" w:cs="Calibri"/>
          <w:color w:val="auto"/>
          <w:sz w:val="24"/>
          <w:szCs w:val="24"/>
        </w:rPr>
        <w:t xml:space="preserve">Responsible for producing credit display packages which are complete, thorough and adhere to business line and U.S. Bancorp standards, including WAM's, full SCD's, and </w:t>
      </w:r>
      <w:proofErr w:type="spellStart"/>
      <w:r w:rsidRPr="00167979">
        <w:rPr>
          <w:rFonts w:ascii="Calibri" w:hAnsi="Calibri" w:cs="Calibri"/>
          <w:color w:val="auto"/>
          <w:sz w:val="24"/>
          <w:szCs w:val="24"/>
        </w:rPr>
        <w:t>preflights</w:t>
      </w:r>
      <w:proofErr w:type="spellEnd"/>
      <w:r w:rsidRPr="00167979">
        <w:rPr>
          <w:rFonts w:ascii="Calibri" w:hAnsi="Calibri" w:cs="Calibri"/>
          <w:color w:val="auto"/>
          <w:sz w:val="24"/>
          <w:szCs w:val="24"/>
        </w:rPr>
        <w:t>, often under very tight time frames typical for corporate banking clients.</w:t>
      </w:r>
    </w:p>
    <w:p w:rsidR="00167979" w:rsidRPr="00AE2B18" w:rsidRDefault="00167979" w:rsidP="00167979">
      <w:pPr>
        <w:pStyle w:val="tablelist4"/>
        <w:rPr>
          <w:rFonts w:ascii="Calibri" w:hAnsi="Calibri" w:cs="Calibri"/>
          <w:sz w:val="15"/>
          <w:szCs w:val="15"/>
        </w:rPr>
      </w:pPr>
      <w:r w:rsidRPr="00AE2B18">
        <w:rPr>
          <w:rStyle w:val="inline"/>
          <w:rFonts w:ascii="Calibri" w:hAnsi="Calibri" w:cs="Calibri"/>
          <w:b/>
          <w:sz w:val="15"/>
          <w:szCs w:val="15"/>
        </w:rPr>
        <w:t> </w:t>
      </w:r>
      <w:r w:rsidRPr="00AE2B18">
        <w:rPr>
          <w:rFonts w:ascii="Calibri" w:hAnsi="Calibri" w:cs="Calibri"/>
          <w:b/>
        </w:rPr>
        <w:t>Qualifications:</w:t>
      </w:r>
      <w:r w:rsidRPr="00AE2B18">
        <w:rPr>
          <w:rFonts w:ascii="Calibri" w:hAnsi="Calibri" w:cs="Calibri"/>
          <w:sz w:val="15"/>
          <w:szCs w:val="15"/>
        </w:rPr>
        <w:t> </w:t>
      </w:r>
    </w:p>
    <w:p w:rsidR="00167979" w:rsidRDefault="00167979" w:rsidP="00167979">
      <w:pPr>
        <w:pStyle w:val="tablelist4"/>
        <w:rPr>
          <w:rFonts w:ascii="Calibri" w:hAnsi="Calibri" w:cs="Calibri"/>
        </w:rPr>
      </w:pPr>
      <w:r w:rsidRPr="00AE2B18">
        <w:rPr>
          <w:rFonts w:ascii="Calibri" w:hAnsi="Calibri" w:cs="Calibri"/>
          <w:i/>
        </w:rPr>
        <w:t>Basic Qualifications</w:t>
      </w:r>
      <w:r w:rsidRPr="00AE2B18">
        <w:rPr>
          <w:rFonts w:ascii="Calibri" w:hAnsi="Calibri" w:cs="Calibri"/>
        </w:rPr>
        <w:t xml:space="preserve"> </w:t>
      </w:r>
      <w:r w:rsidRPr="00AE2B18">
        <w:rPr>
          <w:rFonts w:ascii="Calibri" w:hAnsi="Calibri" w:cs="Calibri"/>
        </w:rPr>
        <w:br/>
        <w:t xml:space="preserve">- Bachelor’s or Master’s Degree </w:t>
      </w:r>
      <w:r w:rsidRPr="00AE2B18">
        <w:rPr>
          <w:rFonts w:ascii="Calibri" w:hAnsi="Calibri" w:cs="Calibri"/>
        </w:rPr>
        <w:br/>
      </w:r>
      <w:r w:rsidRPr="00AE2B18">
        <w:rPr>
          <w:rFonts w:ascii="Calibri" w:hAnsi="Calibri" w:cs="Calibri"/>
        </w:rPr>
        <w:lastRenderedPageBreak/>
        <w:t xml:space="preserve">- Ten or more years of Commercial or Corporate Banking Experience </w:t>
      </w:r>
      <w:r w:rsidRPr="00AE2B18">
        <w:rPr>
          <w:rFonts w:ascii="Calibri" w:hAnsi="Calibri" w:cs="Calibri"/>
        </w:rPr>
        <w:br/>
      </w:r>
      <w:r w:rsidRPr="00AE2B18">
        <w:rPr>
          <w:rFonts w:ascii="Calibri" w:hAnsi="Calibri" w:cs="Calibri"/>
        </w:rPr>
        <w:br/>
      </w:r>
      <w:r w:rsidRPr="00AE2B18">
        <w:rPr>
          <w:rFonts w:ascii="Calibri" w:hAnsi="Calibri" w:cs="Calibri"/>
          <w:i/>
        </w:rPr>
        <w:t>Preferred Skills</w:t>
      </w:r>
      <w:r w:rsidRPr="00AE2B18">
        <w:rPr>
          <w:rFonts w:ascii="Calibri" w:hAnsi="Calibri" w:cs="Calibri"/>
        </w:rPr>
        <w:t xml:space="preserve"> </w:t>
      </w:r>
      <w:r w:rsidRPr="00AE2B18">
        <w:rPr>
          <w:rFonts w:ascii="Calibri" w:hAnsi="Calibri" w:cs="Calibri"/>
        </w:rPr>
        <w:br/>
        <w:t xml:space="preserve">- Extensive knowledge of commercial lending policy, all applicable laws and regulations, credit quality standards, company and business line policies and procedures. </w:t>
      </w:r>
      <w:r w:rsidRPr="00AE2B18">
        <w:rPr>
          <w:rFonts w:ascii="Calibri" w:hAnsi="Calibri" w:cs="Calibri"/>
        </w:rPr>
        <w:br/>
        <w:t xml:space="preserve">- Strong analytical and problem solving skills. </w:t>
      </w:r>
      <w:r w:rsidRPr="00AE2B18">
        <w:rPr>
          <w:rFonts w:ascii="Calibri" w:hAnsi="Calibri" w:cs="Calibri"/>
        </w:rPr>
        <w:br/>
        <w:t xml:space="preserve">- Extensive knowledge of credit products and strong relationship management and business development abilities, in order to capitalize on all opportunities to cross-sell the bank’s products. </w:t>
      </w:r>
      <w:r w:rsidRPr="00AE2B18">
        <w:rPr>
          <w:rFonts w:ascii="Calibri" w:hAnsi="Calibri" w:cs="Calibri"/>
        </w:rPr>
        <w:br/>
        <w:t xml:space="preserve">- Ability to work effectively with individuals and groups across the company to manage customer relationships. </w:t>
      </w:r>
      <w:r w:rsidRPr="00AE2B18">
        <w:rPr>
          <w:rFonts w:ascii="Calibri" w:hAnsi="Calibri" w:cs="Calibri"/>
        </w:rPr>
        <w:br/>
        <w:t xml:space="preserve">- Well-developed written communication and verbal presentation skills. </w:t>
      </w:r>
    </w:p>
    <w:p w:rsidR="00167979" w:rsidRPr="00AE2B18" w:rsidRDefault="00167979" w:rsidP="00167979">
      <w:pPr>
        <w:pStyle w:val="tablelist4"/>
        <w:rPr>
          <w:rFonts w:ascii="Calibri" w:hAnsi="Calibri" w:cs="Calibri"/>
        </w:rPr>
      </w:pPr>
      <w:r w:rsidRPr="00AE2B18">
        <w:rPr>
          <w:rFonts w:ascii="Calibri" w:hAnsi="Calibri" w:cs="Calibri"/>
        </w:rPr>
        <w:t>Job</w:t>
      </w:r>
      <w:r w:rsidRPr="00AE2B18">
        <w:rPr>
          <w:rStyle w:val="inline"/>
          <w:rFonts w:ascii="Calibri" w:hAnsi="Calibri" w:cs="Calibri"/>
        </w:rPr>
        <w:t> </w:t>
      </w:r>
      <w:r w:rsidRPr="00AE2B18">
        <w:rPr>
          <w:rFonts w:ascii="Calibri" w:hAnsi="Calibri" w:cs="Calibri"/>
        </w:rPr>
        <w:t>Portfolio / Asset Management</w:t>
      </w:r>
      <w:r>
        <w:rPr>
          <w:rFonts w:ascii="Calibri" w:hAnsi="Calibri" w:cs="Calibri"/>
        </w:rPr>
        <w:tab/>
      </w:r>
      <w:r>
        <w:rPr>
          <w:rFonts w:ascii="Calibri" w:hAnsi="Calibri" w:cs="Calibri"/>
        </w:rPr>
        <w:tab/>
      </w:r>
      <w:r>
        <w:rPr>
          <w:rFonts w:ascii="Calibri" w:hAnsi="Calibri" w:cs="Calibri"/>
        </w:rPr>
        <w:tab/>
      </w:r>
      <w:r w:rsidRPr="00AE2B18">
        <w:rPr>
          <w:rFonts w:ascii="Calibri" w:hAnsi="Calibri" w:cs="Calibri"/>
        </w:rPr>
        <w:t>Primary Location</w:t>
      </w:r>
      <w:r w:rsidRPr="00AE2B18">
        <w:rPr>
          <w:rStyle w:val="inline"/>
          <w:rFonts w:ascii="Calibri" w:hAnsi="Calibri" w:cs="Calibri"/>
        </w:rPr>
        <w:t> </w:t>
      </w:r>
      <w:r w:rsidRPr="00AE2B18">
        <w:rPr>
          <w:rFonts w:ascii="Calibri" w:hAnsi="Calibri" w:cs="Calibri"/>
        </w:rPr>
        <w:t>New York-NY-New York</w:t>
      </w:r>
    </w:p>
    <w:p w:rsidR="00167979" w:rsidRPr="00AE2B18" w:rsidRDefault="00167979" w:rsidP="00167979">
      <w:pPr>
        <w:pStyle w:val="tablelist4"/>
        <w:rPr>
          <w:rFonts w:ascii="Calibri" w:hAnsi="Calibri" w:cs="Calibri"/>
        </w:rPr>
      </w:pPr>
      <w:r w:rsidRPr="00AE2B18">
        <w:rPr>
          <w:rFonts w:ascii="Calibri" w:hAnsi="Calibri" w:cs="Calibri"/>
        </w:rPr>
        <w:t>Shift</w:t>
      </w:r>
      <w:r w:rsidRPr="00AE2B18">
        <w:rPr>
          <w:rStyle w:val="inline"/>
          <w:rFonts w:ascii="Calibri" w:hAnsi="Calibri" w:cs="Calibri"/>
        </w:rPr>
        <w:t> </w:t>
      </w:r>
      <w:r w:rsidRPr="00AE2B18">
        <w:rPr>
          <w:rFonts w:ascii="Calibri" w:hAnsi="Calibri" w:cs="Calibri"/>
        </w:rPr>
        <w:t>1st – Daytime</w:t>
      </w:r>
      <w:r w:rsidRPr="00AE2B18">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E2B18">
        <w:rPr>
          <w:rFonts w:ascii="Calibri" w:hAnsi="Calibri" w:cs="Calibri"/>
        </w:rPr>
        <w:t>Other Locations</w:t>
      </w:r>
      <w:r w:rsidRPr="00AE2B18">
        <w:rPr>
          <w:rStyle w:val="inline"/>
          <w:rFonts w:ascii="Calibri" w:hAnsi="Calibri" w:cs="Calibri"/>
        </w:rPr>
        <w:t> </w:t>
      </w:r>
      <w:r w:rsidRPr="00AE2B18">
        <w:rPr>
          <w:rFonts w:ascii="Calibri" w:hAnsi="Calibri" w:cs="Calibri"/>
        </w:rPr>
        <w:t>Missouri-MO-Saint Louis</w:t>
      </w:r>
    </w:p>
    <w:p w:rsidR="00167979" w:rsidRPr="00AE2B18" w:rsidRDefault="00167979" w:rsidP="00167979">
      <w:pPr>
        <w:pStyle w:val="tablelist4"/>
        <w:rPr>
          <w:rFonts w:ascii="Calibri" w:hAnsi="Calibri" w:cs="Calibri"/>
        </w:rPr>
      </w:pPr>
      <w:r w:rsidRPr="00AE2B18">
        <w:rPr>
          <w:rFonts w:ascii="Calibri" w:hAnsi="Calibri" w:cs="Calibri"/>
        </w:rPr>
        <w:t>Travel</w:t>
      </w:r>
      <w:r w:rsidRPr="00AE2B18">
        <w:rPr>
          <w:rStyle w:val="inline"/>
          <w:rFonts w:ascii="Calibri" w:hAnsi="Calibri" w:cs="Calibri"/>
        </w:rPr>
        <w:t> </w:t>
      </w:r>
      <w:r w:rsidRPr="00AE2B18">
        <w:rPr>
          <w:rFonts w:ascii="Calibri" w:hAnsi="Calibri" w:cs="Calibri"/>
        </w:rPr>
        <w:t>Yes, 5 % of the Time</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AE2B18">
        <w:rPr>
          <w:rFonts w:ascii="Calibri" w:hAnsi="Calibri" w:cs="Calibri"/>
        </w:rPr>
        <w:t xml:space="preserve">Average Hours </w:t>
      </w:r>
      <w:proofErr w:type="gramStart"/>
      <w:r w:rsidRPr="00AE2B18">
        <w:rPr>
          <w:rFonts w:ascii="Calibri" w:hAnsi="Calibri" w:cs="Calibri"/>
        </w:rPr>
        <w:t>Per</w:t>
      </w:r>
      <w:proofErr w:type="gramEnd"/>
      <w:r w:rsidRPr="00AE2B18">
        <w:rPr>
          <w:rFonts w:ascii="Calibri" w:hAnsi="Calibri" w:cs="Calibri"/>
        </w:rPr>
        <w:t xml:space="preserve"> Week 40</w:t>
      </w:r>
    </w:p>
    <w:p w:rsidR="00167979" w:rsidRPr="00AE2B18" w:rsidRDefault="00167979" w:rsidP="00167979">
      <w:pPr>
        <w:pStyle w:val="tablelist4"/>
        <w:rPr>
          <w:rFonts w:ascii="Calibri" w:hAnsi="Calibri" w:cs="Calibri"/>
          <w:color w:val="555555"/>
        </w:rPr>
      </w:pPr>
    </w:p>
    <w:p w:rsidR="00D23122" w:rsidRDefault="00167979" w:rsidP="00D23122">
      <w:pPr>
        <w:pStyle w:val="tablelist4"/>
        <w:jc w:val="center"/>
        <w:rPr>
          <w:rStyle w:val="Hyperlink"/>
          <w:rFonts w:ascii="Calibri" w:hAnsi="Calibri" w:cs="Calibri"/>
        </w:rPr>
      </w:pPr>
      <w:r w:rsidRPr="00AE2B18">
        <w:rPr>
          <w:rFonts w:ascii="Calibri" w:hAnsi="Calibri" w:cs="Calibri"/>
          <w:b/>
        </w:rPr>
        <w:t>To Apply</w:t>
      </w:r>
      <w:r w:rsidRPr="00AE2B18">
        <w:rPr>
          <w:rFonts w:ascii="Calibri" w:hAnsi="Calibri" w:cs="Calibri"/>
        </w:rPr>
        <w:t xml:space="preserve">: Go to </w:t>
      </w:r>
      <w:hyperlink r:id="rId8" w:history="1">
        <w:r w:rsidRPr="00AE2B18">
          <w:rPr>
            <w:rStyle w:val="Hyperlink"/>
            <w:rFonts w:ascii="Calibri" w:hAnsi="Calibri" w:cs="Calibri"/>
          </w:rPr>
          <w:t>www.usbank.com/car</w:t>
        </w:r>
        <w:r w:rsidRPr="00AE2B18">
          <w:rPr>
            <w:rStyle w:val="Hyperlink"/>
            <w:rFonts w:ascii="Calibri" w:hAnsi="Calibri" w:cs="Calibri"/>
          </w:rPr>
          <w:t>e</w:t>
        </w:r>
        <w:r w:rsidRPr="00AE2B18">
          <w:rPr>
            <w:rStyle w:val="Hyperlink"/>
            <w:rFonts w:ascii="Calibri" w:hAnsi="Calibri" w:cs="Calibri"/>
          </w:rPr>
          <w:t>ers</w:t>
        </w:r>
      </w:hyperlink>
    </w:p>
    <w:p w:rsidR="00D23122" w:rsidRPr="00D23122" w:rsidRDefault="00D23122" w:rsidP="00D23122">
      <w:pPr>
        <w:pStyle w:val="tablelist4"/>
        <w:jc w:val="center"/>
        <w:rPr>
          <w:rFonts w:ascii="Calibri" w:hAnsi="Calibri" w:cs="Calibri"/>
        </w:rPr>
      </w:pPr>
      <w:r w:rsidRPr="00D23122">
        <w:rPr>
          <w:rStyle w:val="Hyperlink"/>
          <w:rFonts w:ascii="Calibri" w:hAnsi="Calibri" w:cs="Calibri"/>
          <w:color w:val="auto"/>
          <w:u w:val="none"/>
        </w:rPr>
        <w:t xml:space="preserve">Job Number </w:t>
      </w:r>
      <w:r w:rsidRPr="00D23122">
        <w:rPr>
          <w:rFonts w:ascii="Calibri" w:hAnsi="Calibri" w:cs="Calibri"/>
        </w:rPr>
        <w:t>180016766</w:t>
      </w:r>
      <w:bookmarkStart w:id="0" w:name="_GoBack"/>
      <w:bookmarkEnd w:id="0"/>
    </w:p>
    <w:p w:rsidR="00CB44B9" w:rsidRPr="00D23122" w:rsidRDefault="00CB44B9" w:rsidP="00167979">
      <w:pPr>
        <w:jc w:val="center"/>
      </w:pPr>
    </w:p>
    <w:sectPr w:rsidR="00CB44B9" w:rsidRPr="00D23122" w:rsidSect="00167979">
      <w:headerReference w:type="first" r:id="rId9"/>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70" w:rsidRDefault="00540B70">
      <w:r>
        <w:separator/>
      </w:r>
    </w:p>
  </w:endnote>
  <w:endnote w:type="continuationSeparator" w:id="0">
    <w:p w:rsidR="00540B70" w:rsidRDefault="00540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W01-55Roma">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70" w:rsidRDefault="00540B70">
      <w:r>
        <w:separator/>
      </w:r>
    </w:p>
  </w:footnote>
  <w:footnote w:type="continuationSeparator" w:id="0">
    <w:p w:rsidR="00540B70" w:rsidRDefault="00540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6BFE" w:rsidRDefault="00852045">
    <w:pPr>
      <w:pStyle w:val="Header"/>
    </w:pPr>
    <w:r w:rsidRPr="00852045">
      <w:rPr>
        <w:noProof/>
      </w:rPr>
      <w:drawing>
        <wp:anchor distT="0" distB="0" distL="114300" distR="114300" simplePos="0" relativeHeight="251657216" behindDoc="1" locked="0" layoutInCell="1" allowOverlap="1" wp14:anchorId="446F3A7B" wp14:editId="7A23538D">
          <wp:simplePos x="0" y="0"/>
          <wp:positionH relativeFrom="column">
            <wp:posOffset>5144770</wp:posOffset>
          </wp:positionH>
          <wp:positionV relativeFrom="paragraph">
            <wp:posOffset>474345</wp:posOffset>
          </wp:positionV>
          <wp:extent cx="1700530" cy="4241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Ban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530" cy="424180"/>
                  </a:xfrm>
                  <a:prstGeom prst="rect">
                    <a:avLst/>
                  </a:prstGeom>
                </pic:spPr>
              </pic:pic>
            </a:graphicData>
          </a:graphic>
          <wp14:sizeRelH relativeFrom="page">
            <wp14:pctWidth>0</wp14:pctWidth>
          </wp14:sizeRelH>
          <wp14:sizeRelV relativeFrom="page">
            <wp14:pctHeight>0</wp14:pctHeight>
          </wp14:sizeRelV>
        </wp:anchor>
      </w:drawing>
    </w:r>
    <w:r w:rsidRPr="00852045">
      <w:rPr>
        <w:noProof/>
      </w:rPr>
      <mc:AlternateContent>
        <mc:Choice Requires="wps">
          <w:drawing>
            <wp:anchor distT="0" distB="0" distL="114300" distR="114300" simplePos="0" relativeHeight="251659264" behindDoc="0" locked="0" layoutInCell="1" allowOverlap="1" wp14:anchorId="660134E5" wp14:editId="57571FE3">
              <wp:simplePos x="0" y="0"/>
              <wp:positionH relativeFrom="column">
                <wp:posOffset>5162006</wp:posOffset>
              </wp:positionH>
              <wp:positionV relativeFrom="paragraph">
                <wp:posOffset>1130935</wp:posOffset>
              </wp:positionV>
              <wp:extent cx="1185545" cy="160655"/>
              <wp:effectExtent l="0" t="0" r="1460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554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2045" w:rsidRPr="00276C54" w:rsidRDefault="00852045" w:rsidP="00852045">
                          <w:pPr>
                            <w:rPr>
                              <w:rFonts w:ascii="Arial" w:hAnsi="Arial" w:cs="Arial"/>
                              <w:color w:val="0C2074"/>
                              <w:sz w:val="14"/>
                              <w:szCs w:val="14"/>
                            </w:rPr>
                          </w:pPr>
                          <w:r w:rsidRPr="00276C54">
                            <w:rPr>
                              <w:rFonts w:ascii="Arial" w:hAnsi="Arial" w:cs="Arial"/>
                              <w:color w:val="0C2074"/>
                              <w:sz w:val="14"/>
                              <w:szCs w:val="14"/>
                            </w:rPr>
                            <w:t>usbank.com</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60134E5" id="_x0000_t202" coordsize="21600,21600" o:spt="202" path="m,l,21600r21600,l21600,xe">
              <v:stroke joinstyle="miter"/>
              <v:path gradientshapeok="t" o:connecttype="rect"/>
            </v:shapetype>
            <v:shape id="Text Box 2" o:spid="_x0000_s1026" type="#_x0000_t202" style="position:absolute;margin-left:406.45pt;margin-top:89.05pt;width:93.35pt;height:12.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lIqQ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" filled="f" stroked="f">
              <v:textbox style="mso-fit-shape-to-text:t" inset="0,0,0,0">
                <w:txbxContent>
                  <w:p w:rsidR="00852045" w:rsidRPr="00276C54" w:rsidRDefault="00852045" w:rsidP="00852045">
                    <w:pPr>
                      <w:rPr>
                        <w:rFonts w:ascii="Arial" w:hAnsi="Arial" w:cs="Arial"/>
                        <w:color w:val="0C2074"/>
                        <w:sz w:val="14"/>
                        <w:szCs w:val="14"/>
                      </w:rPr>
                    </w:pPr>
                    <w:r w:rsidRPr="00276C54">
                      <w:rPr>
                        <w:rFonts w:ascii="Arial" w:hAnsi="Arial" w:cs="Arial"/>
                        <w:color w:val="0C2074"/>
                        <w:sz w:val="14"/>
                        <w:szCs w:val="14"/>
                      </w:rPr>
                      <w:t>usbank.com</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BC4973"/>
    <w:multiLevelType w:val="hybridMultilevel"/>
    <w:tmpl w:val="186415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0D"/>
    <w:rsid w:val="000254B6"/>
    <w:rsid w:val="00046424"/>
    <w:rsid w:val="00167979"/>
    <w:rsid w:val="001A6814"/>
    <w:rsid w:val="001B1077"/>
    <w:rsid w:val="00276C54"/>
    <w:rsid w:val="00280B88"/>
    <w:rsid w:val="00286059"/>
    <w:rsid w:val="0031695F"/>
    <w:rsid w:val="003D1F19"/>
    <w:rsid w:val="00401967"/>
    <w:rsid w:val="00417A00"/>
    <w:rsid w:val="004624AB"/>
    <w:rsid w:val="00540B70"/>
    <w:rsid w:val="00564D83"/>
    <w:rsid w:val="005A4A18"/>
    <w:rsid w:val="005F5580"/>
    <w:rsid w:val="006373DE"/>
    <w:rsid w:val="007A5554"/>
    <w:rsid w:val="0082549A"/>
    <w:rsid w:val="00852045"/>
    <w:rsid w:val="00874526"/>
    <w:rsid w:val="00886E8C"/>
    <w:rsid w:val="008E7B22"/>
    <w:rsid w:val="009038FB"/>
    <w:rsid w:val="0091437F"/>
    <w:rsid w:val="00924F4D"/>
    <w:rsid w:val="009445A2"/>
    <w:rsid w:val="009728E7"/>
    <w:rsid w:val="00980F54"/>
    <w:rsid w:val="009A37E5"/>
    <w:rsid w:val="00A21269"/>
    <w:rsid w:val="00A4425F"/>
    <w:rsid w:val="00A50AEA"/>
    <w:rsid w:val="00AD2E11"/>
    <w:rsid w:val="00B14DC8"/>
    <w:rsid w:val="00B4710D"/>
    <w:rsid w:val="00BD0F65"/>
    <w:rsid w:val="00BF5967"/>
    <w:rsid w:val="00C0400B"/>
    <w:rsid w:val="00CA658D"/>
    <w:rsid w:val="00CB44B9"/>
    <w:rsid w:val="00CD34A1"/>
    <w:rsid w:val="00D23122"/>
    <w:rsid w:val="00D767BE"/>
    <w:rsid w:val="00DF5A86"/>
    <w:rsid w:val="00E2075E"/>
    <w:rsid w:val="00E36BFE"/>
    <w:rsid w:val="00E54FDB"/>
    <w:rsid w:val="00EC4372"/>
    <w:rsid w:val="00F3622E"/>
    <w:rsid w:val="00F5452E"/>
    <w:rsid w:val="00FA55DC"/>
    <w:rsid w:val="00FC033A"/>
    <w:rsid w:val="00FC29C2"/>
    <w:rsid w:val="00FD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5592C83-268B-4E1F-B2F9-B83015C0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D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10D"/>
    <w:pPr>
      <w:tabs>
        <w:tab w:val="center" w:pos="4320"/>
        <w:tab w:val="right" w:pos="8640"/>
      </w:tabs>
    </w:pPr>
  </w:style>
  <w:style w:type="paragraph" w:styleId="Footer">
    <w:name w:val="footer"/>
    <w:basedOn w:val="Normal"/>
    <w:rsid w:val="00B4710D"/>
    <w:pPr>
      <w:tabs>
        <w:tab w:val="center" w:pos="4320"/>
        <w:tab w:val="right" w:pos="8640"/>
      </w:tabs>
    </w:pPr>
  </w:style>
  <w:style w:type="table" w:styleId="TableGrid">
    <w:name w:val="Table Grid"/>
    <w:basedOn w:val="TableNormal"/>
    <w:rsid w:val="00B14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A37E5"/>
    <w:rPr>
      <w:rFonts w:ascii="Tahoma" w:hAnsi="Tahoma" w:cs="Tahoma"/>
      <w:sz w:val="16"/>
      <w:szCs w:val="16"/>
    </w:rPr>
  </w:style>
  <w:style w:type="character" w:customStyle="1" w:styleId="BalloonTextChar">
    <w:name w:val="Balloon Text Char"/>
    <w:link w:val="BalloonText"/>
    <w:rsid w:val="009A37E5"/>
    <w:rPr>
      <w:rFonts w:ascii="Tahoma" w:hAnsi="Tahoma" w:cs="Tahoma"/>
      <w:sz w:val="16"/>
      <w:szCs w:val="16"/>
    </w:rPr>
  </w:style>
  <w:style w:type="paragraph" w:customStyle="1" w:styleId="text6">
    <w:name w:val="text6"/>
    <w:basedOn w:val="Normal"/>
    <w:rsid w:val="00167979"/>
    <w:pPr>
      <w:spacing w:before="100" w:beforeAutospacing="1" w:after="100" w:afterAutospacing="1"/>
    </w:pPr>
    <w:rPr>
      <w:rFonts w:ascii="HelveticaNeueW01-55Roma" w:hAnsi="HelveticaNeueW01-55Roma"/>
      <w:color w:val="555555"/>
      <w:sz w:val="20"/>
      <w:szCs w:val="20"/>
    </w:rPr>
  </w:style>
  <w:style w:type="paragraph" w:customStyle="1" w:styleId="tablelist4">
    <w:name w:val="tablelist4"/>
    <w:basedOn w:val="Normal"/>
    <w:rsid w:val="00167979"/>
    <w:pPr>
      <w:spacing w:before="100" w:beforeAutospacing="1" w:after="100" w:afterAutospacing="1"/>
    </w:pPr>
  </w:style>
  <w:style w:type="character" w:customStyle="1" w:styleId="inline">
    <w:name w:val="inline"/>
    <w:basedOn w:val="DefaultParagraphFont"/>
    <w:rsid w:val="00167979"/>
  </w:style>
  <w:style w:type="character" w:styleId="Hyperlink">
    <w:name w:val="Hyperlink"/>
    <w:basedOn w:val="DefaultParagraphFont"/>
    <w:uiPriority w:val="99"/>
    <w:unhideWhenUsed/>
    <w:rsid w:val="00167979"/>
    <w:rPr>
      <w:color w:val="0C2074" w:themeColor="hyperlink"/>
      <w:u w:val="single"/>
    </w:rPr>
  </w:style>
  <w:style w:type="character" w:styleId="FollowedHyperlink">
    <w:name w:val="FollowedHyperlink"/>
    <w:basedOn w:val="DefaultParagraphFont"/>
    <w:semiHidden/>
    <w:unhideWhenUsed/>
    <w:rsid w:val="00D23122"/>
    <w:rPr>
      <w:color w:val="63646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bank.com/caree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SB Consumer">
      <a:dk1>
        <a:sysClr val="windowText" lastClr="000000"/>
      </a:dk1>
      <a:lt1>
        <a:sysClr val="window" lastClr="FFFFFF"/>
      </a:lt1>
      <a:dk2>
        <a:srgbClr val="0C2074"/>
      </a:dk2>
      <a:lt2>
        <a:srgbClr val="EEECE1"/>
      </a:lt2>
      <a:accent1>
        <a:srgbClr val="67B2E8"/>
      </a:accent1>
      <a:accent2>
        <a:srgbClr val="4D9C45"/>
      </a:accent2>
      <a:accent3>
        <a:srgbClr val="EB7923"/>
      </a:accent3>
      <a:accent4>
        <a:srgbClr val="DE162B"/>
      </a:accent4>
      <a:accent5>
        <a:srgbClr val="636466"/>
      </a:accent5>
      <a:accent6>
        <a:srgbClr val="E9AB3F"/>
      </a:accent6>
      <a:hlink>
        <a:srgbClr val="0C2074"/>
      </a:hlink>
      <a:folHlink>
        <a:srgbClr val="636466"/>
      </a:folHlink>
    </a:clrScheme>
    <a:fontScheme name="USB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DE147-1692-4F00-92B8-EA84FB6C6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Information goes here</vt:lpstr>
    </vt:vector>
  </TitlesOfParts>
  <Company>US BANK</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goes here</dc:title>
  <dc:creator>wswarre</dc:creator>
  <cp:lastModifiedBy>Gilbert, Rachel M</cp:lastModifiedBy>
  <cp:revision>3</cp:revision>
  <cp:lastPrinted>2009-05-28T14:34:00Z</cp:lastPrinted>
  <dcterms:created xsi:type="dcterms:W3CDTF">2018-05-04T20:15:00Z</dcterms:created>
  <dcterms:modified xsi:type="dcterms:W3CDTF">2018-05-04T20:18:00Z</dcterms:modified>
</cp:coreProperties>
</file>