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43" w:rsidRDefault="00984543" w:rsidP="00984543">
      <w:pPr>
        <w:spacing w:line="240" w:lineRule="auto"/>
        <w:rPr>
          <w:rFonts w:ascii="Bliss" w:eastAsia="Times New Roman" w:hAnsi="Bliss" w:cs="Times New Roman"/>
          <w:color w:val="616568"/>
          <w:sz w:val="24"/>
          <w:szCs w:val="24"/>
          <w:lang w:val="en"/>
        </w:rPr>
      </w:pPr>
      <w:r>
        <w:rPr>
          <w:rFonts w:ascii="Bliss" w:hAnsi="Bliss"/>
          <w:color w:val="0028A0"/>
          <w:sz w:val="63"/>
          <w:szCs w:val="63"/>
          <w:lang w:val="en"/>
        </w:rPr>
        <w:t>Analyst, US Public Finance Group; Healthcare</w:t>
      </w:r>
      <w:r>
        <w:rPr>
          <w:rFonts w:ascii="Bliss" w:hAnsi="Bliss"/>
          <w:color w:val="0028A0"/>
          <w:sz w:val="63"/>
          <w:szCs w:val="63"/>
          <w:lang w:val="en"/>
        </w:rPr>
        <w:t xml:space="preserve"> – New York</w:t>
      </w:r>
      <w:bookmarkStart w:id="0" w:name="_GoBack"/>
      <w:bookmarkEnd w:id="0"/>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Individual will be a lead analyst responsible for research and analysis for new ratings as well as monitoring of a specific portfolio of not-for-profit healthcare ratings. Responsibilities include: quantitative and qualitative analysis of credit quality, including an assessment of operating, financial, regulatory, governance and management risks. Financial analysis notably includes liquidity, debt and other long-term obligations, historical financial performance and the assessment of future debt repayment abilities.</w:t>
      </w:r>
      <w:r w:rsidRPr="00984543">
        <w:rPr>
          <w:rFonts w:ascii="Bliss" w:eastAsia="Times New Roman" w:hAnsi="Bliss" w:cs="Times New Roman"/>
          <w:color w:val="616568"/>
          <w:sz w:val="24"/>
          <w:szCs w:val="24"/>
          <w:lang w:val="en"/>
        </w:rPr>
        <w:br/>
      </w:r>
      <w:r w:rsidRPr="00984543">
        <w:rPr>
          <w:rFonts w:ascii="Bliss" w:eastAsia="Times New Roman" w:hAnsi="Bliss" w:cs="Times New Roman"/>
          <w:color w:val="616568"/>
          <w:sz w:val="24"/>
          <w:szCs w:val="24"/>
          <w:lang w:val="en"/>
        </w:rPr>
        <w:br/>
        <w:t>The lead analyst is responsible for developing in-depth knowledge of the specific regions and states in which portfolio credits operate, building an understanding of key healthcare policies; building relationships with investors, issuers and their intermediaries; and managing key strategic internal and external relationships.</w:t>
      </w:r>
      <w:r w:rsidRPr="00984543">
        <w:rPr>
          <w:rFonts w:ascii="Bliss" w:eastAsia="Times New Roman" w:hAnsi="Bliss" w:cs="Times New Roman"/>
          <w:color w:val="616568"/>
          <w:sz w:val="24"/>
          <w:szCs w:val="24"/>
          <w:lang w:val="en"/>
        </w:rPr>
        <w:br/>
      </w:r>
      <w:r w:rsidRPr="00984543">
        <w:rPr>
          <w:rFonts w:ascii="Bliss" w:eastAsia="Times New Roman" w:hAnsi="Bliss" w:cs="Times New Roman"/>
          <w:color w:val="616568"/>
          <w:sz w:val="24"/>
          <w:szCs w:val="24"/>
          <w:lang w:val="en"/>
        </w:rPr>
        <w:br/>
        <w:t>In addition, the lead analyst will be responsible for publishing high quality research on individual bond issues, news events that affect credit and sector trends. Over time, the analyst will participate in investor outreach with other senior healthcare and PFG team members. Moderate travel is expected.</w:t>
      </w:r>
      <w:r w:rsidRPr="00984543">
        <w:rPr>
          <w:rFonts w:ascii="Bliss" w:eastAsia="Times New Roman" w:hAnsi="Bliss" w:cs="Times New Roman"/>
          <w:color w:val="616568"/>
          <w:sz w:val="24"/>
          <w:szCs w:val="24"/>
          <w:lang w:val="en"/>
        </w:rPr>
        <w:br/>
      </w:r>
      <w:r w:rsidRPr="00984543">
        <w:rPr>
          <w:rFonts w:ascii="Bliss" w:eastAsia="Times New Roman" w:hAnsi="Bliss" w:cs="Times New Roman"/>
          <w:color w:val="616568"/>
          <w:sz w:val="24"/>
          <w:szCs w:val="24"/>
          <w:lang w:val="en"/>
        </w:rPr>
        <w:br/>
        <w:t>The preferred hiring location for this position is our New York City office.</w:t>
      </w:r>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Moody’s Not-For-Profit Healthcare Ratings team is located in multiple geographic offices throughout the U.S. and is responsible for the accurate and timely assignment and monitoring of credit ratings for single and multi-state hospitals and related Healthcare issuers. The team is part of Moody’s US Public Finance Department, which is responsible for all credit ratings in the Not-For-Profit sectors, Healthcare, Higher Education, Housing, US state and local government sectors.</w:t>
      </w:r>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•Undergraduate and graduate degrees; MBA, MPA, MPP or similar degree preferred. CPA or CFA Preferred.</w:t>
      </w:r>
      <w:r w:rsidRPr="00984543">
        <w:rPr>
          <w:rFonts w:ascii="Bliss" w:eastAsia="Times New Roman" w:hAnsi="Bliss" w:cs="Times New Roman"/>
          <w:color w:val="616568"/>
          <w:sz w:val="24"/>
          <w:szCs w:val="24"/>
          <w:lang w:val="en"/>
        </w:rPr>
        <w:br/>
        <w:t>•Minimum of three to five years relevant experience in credit analysis, financial markets, and/or healthcare finance</w:t>
      </w:r>
      <w:r w:rsidRPr="00984543">
        <w:rPr>
          <w:rFonts w:ascii="Bliss" w:eastAsia="Times New Roman" w:hAnsi="Bliss" w:cs="Times New Roman"/>
          <w:color w:val="616568"/>
          <w:sz w:val="24"/>
          <w:szCs w:val="24"/>
          <w:lang w:val="en"/>
        </w:rPr>
        <w:br/>
        <w:t>•Fundamental credit skills including both qualitative and quantitative aptitude</w:t>
      </w:r>
      <w:r w:rsidRPr="00984543">
        <w:rPr>
          <w:rFonts w:ascii="Bliss" w:eastAsia="Times New Roman" w:hAnsi="Bliss" w:cs="Times New Roman"/>
          <w:color w:val="616568"/>
          <w:sz w:val="24"/>
          <w:szCs w:val="24"/>
          <w:lang w:val="en"/>
        </w:rPr>
        <w:br/>
        <w:t>•Background in corporate accounting (preferred), municipal finance, public sector accounting, economics and statistics</w:t>
      </w:r>
      <w:r w:rsidRPr="00984543">
        <w:rPr>
          <w:rFonts w:ascii="Bliss" w:eastAsia="Times New Roman" w:hAnsi="Bliss" w:cs="Times New Roman"/>
          <w:color w:val="616568"/>
          <w:sz w:val="24"/>
          <w:szCs w:val="24"/>
          <w:lang w:val="en"/>
        </w:rPr>
        <w:br/>
        <w:t>•Excellent interpersonal, communication (written and oral) and research skills</w:t>
      </w:r>
      <w:r w:rsidRPr="00984543">
        <w:rPr>
          <w:rFonts w:ascii="Bliss" w:eastAsia="Times New Roman" w:hAnsi="Bliss" w:cs="Times New Roman"/>
          <w:color w:val="616568"/>
          <w:sz w:val="24"/>
          <w:szCs w:val="24"/>
          <w:lang w:val="en"/>
        </w:rPr>
        <w:br/>
        <w:t>•Ability to manage multiple priority tasks simultaneously and consistently meet deadlines</w:t>
      </w:r>
      <w:r w:rsidRPr="00984543">
        <w:rPr>
          <w:rFonts w:ascii="Bliss" w:eastAsia="Times New Roman" w:hAnsi="Bliss" w:cs="Times New Roman"/>
          <w:color w:val="616568"/>
          <w:sz w:val="24"/>
          <w:szCs w:val="24"/>
          <w:lang w:val="en"/>
        </w:rPr>
        <w:br/>
        <w:t>•Strong proficiency in MS Word, Excel, and PowerPoint</w:t>
      </w:r>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 xml:space="preserve">Moody's is an essential component of the global capital markets, providing credit ratings, research, tools and analysis that contribute to transparent and integrated financial markets. Moody's Corporation (NYSE: MCO) is the parent company of Moody's Investors Service, which provides credit ratings and research covering debt instruments and securities, and Moody's Analytics, which offers leading-edge software, advisory services and research for credit and </w:t>
      </w:r>
      <w:r w:rsidRPr="00984543">
        <w:rPr>
          <w:rFonts w:ascii="Bliss" w:eastAsia="Times New Roman" w:hAnsi="Bliss" w:cs="Times New Roman"/>
          <w:color w:val="616568"/>
          <w:sz w:val="24"/>
          <w:szCs w:val="24"/>
          <w:lang w:val="en"/>
        </w:rPr>
        <w:lastRenderedPageBreak/>
        <w:t xml:space="preserve">economic analysis and financial risk management. The Corporation, which reported revenue of $3.6 billion in 2016, employs approximately 10,700 people worldwide and maintains a presence in 36 countries. Further information is available at </w:t>
      </w:r>
      <w:hyperlink r:id="rId4" w:tgtFrame="_blank" w:history="1">
        <w:r w:rsidRPr="00984543">
          <w:rPr>
            <w:rFonts w:ascii="Bliss" w:eastAsia="Times New Roman" w:hAnsi="Bliss" w:cs="Times New Roman"/>
            <w:color w:val="0000FF"/>
            <w:sz w:val="24"/>
            <w:szCs w:val="24"/>
            <w:u w:val="single"/>
            <w:lang w:val="en"/>
          </w:rPr>
          <w:t>www.moodys.com</w:t>
        </w:r>
      </w:hyperlink>
      <w:r w:rsidRPr="00984543">
        <w:rPr>
          <w:rFonts w:ascii="Bliss" w:eastAsia="Times New Roman" w:hAnsi="Bliss" w:cs="Times New Roman"/>
          <w:color w:val="616568"/>
          <w:sz w:val="24"/>
          <w:szCs w:val="24"/>
          <w:lang w:val="en"/>
        </w:rPr>
        <w:t>.</w:t>
      </w:r>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 xml:space="preserve">Moody’s is an equal opportunity employer. All qualified applicants will receive consideration for employment without regard to race, color, sex, gender, age, religion, national origin, citizen status, marital status, physical or mental disability, military or veteran status, sexual orientation, gender identity, gender expression, genetic information, or any other characteristic protected by law. Moody’s also provides reasonable accommodation to qualified individuals with disabilities in accordance with applicable laws. If you need to inquire about a reasonable accommodation, or need assistance with completing the application process, please email </w:t>
      </w:r>
      <w:hyperlink r:id="rId5" w:history="1">
        <w:r w:rsidRPr="00984543">
          <w:rPr>
            <w:rFonts w:ascii="Bliss" w:eastAsia="Times New Roman" w:hAnsi="Bliss" w:cs="Times New Roman"/>
            <w:color w:val="0000FF"/>
            <w:sz w:val="24"/>
            <w:szCs w:val="24"/>
            <w:u w:val="single"/>
            <w:lang w:val="en"/>
          </w:rPr>
          <w:t>accommodations@moodys.com</w:t>
        </w:r>
      </w:hyperlink>
      <w:r w:rsidRPr="00984543">
        <w:rPr>
          <w:rFonts w:ascii="Bliss" w:eastAsia="Times New Roman" w:hAnsi="Bliss" w:cs="Times New Roman"/>
          <w:color w:val="616568"/>
          <w:sz w:val="24"/>
          <w:szCs w:val="24"/>
          <w:lang w:val="en"/>
        </w:rPr>
        <w:t xml:space="preserve">.. This contact information is for accommodation requests only, and cannot be used to inquire about the status of applications. </w:t>
      </w:r>
      <w:r w:rsidRPr="00984543">
        <w:rPr>
          <w:rFonts w:ascii="Bliss" w:eastAsia="Times New Roman" w:hAnsi="Bliss" w:cs="Times New Roman"/>
          <w:color w:val="616568"/>
          <w:sz w:val="24"/>
          <w:szCs w:val="24"/>
          <w:lang w:val="en"/>
        </w:rPr>
        <w:br/>
      </w:r>
      <w:r w:rsidRPr="00984543">
        <w:rPr>
          <w:rFonts w:ascii="Bliss" w:eastAsia="Times New Roman" w:hAnsi="Bliss" w:cs="Times New Roman"/>
          <w:color w:val="616568"/>
          <w:sz w:val="24"/>
          <w:szCs w:val="24"/>
          <w:lang w:val="en"/>
        </w:rPr>
        <w:br/>
        <w:t xml:space="preserve">For San Francisco positions, qualified applicants with criminal histories will be considered for employment consistent with the requirements of the San Francisco Fair Chance Ordinance. For New York City positions, qualified applicants with criminal histories will be considered for employment consistent with the requirements of the New York City Fair Chance Act. For all other applicants, qualified applicants with criminal histories will be considered for employment consistent with the requirements of applicable law. </w:t>
      </w:r>
      <w:r w:rsidRPr="00984543">
        <w:rPr>
          <w:rFonts w:ascii="Bliss" w:eastAsia="Times New Roman" w:hAnsi="Bliss" w:cs="Times New Roman"/>
          <w:color w:val="616568"/>
          <w:sz w:val="24"/>
          <w:szCs w:val="24"/>
          <w:lang w:val="en"/>
        </w:rPr>
        <w:br/>
      </w:r>
      <w:r w:rsidRPr="00984543">
        <w:rPr>
          <w:rFonts w:ascii="Bliss" w:eastAsia="Times New Roman" w:hAnsi="Bliss" w:cs="Times New Roman"/>
          <w:color w:val="616568"/>
          <w:sz w:val="24"/>
          <w:szCs w:val="24"/>
          <w:lang w:val="en"/>
        </w:rPr>
        <w:br/>
      </w:r>
      <w:hyperlink r:id="rId6" w:tgtFrame="_blank" w:history="1">
        <w:r w:rsidRPr="00984543">
          <w:rPr>
            <w:rFonts w:ascii="Bliss" w:eastAsia="Times New Roman" w:hAnsi="Bliss" w:cs="Times New Roman"/>
            <w:color w:val="0000FF"/>
            <w:sz w:val="24"/>
            <w:szCs w:val="24"/>
            <w:u w:val="single"/>
            <w:lang w:val="en"/>
          </w:rPr>
          <w:t>Click here</w:t>
        </w:r>
      </w:hyperlink>
      <w:r w:rsidRPr="00984543">
        <w:rPr>
          <w:rFonts w:ascii="Bliss" w:eastAsia="Times New Roman" w:hAnsi="Bliss" w:cs="Times New Roman"/>
          <w:color w:val="616568"/>
          <w:sz w:val="24"/>
          <w:szCs w:val="24"/>
          <w:lang w:val="en"/>
        </w:rPr>
        <w:t xml:space="preserve"> to view our full EEO policy statement. </w:t>
      </w:r>
      <w:hyperlink r:id="rId7" w:tgtFrame="_blank" w:history="1">
        <w:r w:rsidRPr="00984543">
          <w:rPr>
            <w:rFonts w:ascii="Bliss" w:eastAsia="Times New Roman" w:hAnsi="Bliss" w:cs="Times New Roman"/>
            <w:color w:val="0000FF"/>
            <w:sz w:val="24"/>
            <w:szCs w:val="24"/>
            <w:u w:val="single"/>
            <w:lang w:val="en"/>
          </w:rPr>
          <w:t>Click here</w:t>
        </w:r>
      </w:hyperlink>
      <w:r w:rsidRPr="00984543">
        <w:rPr>
          <w:rFonts w:ascii="Bliss" w:eastAsia="Times New Roman" w:hAnsi="Bliss" w:cs="Times New Roman"/>
          <w:color w:val="616568"/>
          <w:sz w:val="24"/>
          <w:szCs w:val="24"/>
          <w:lang w:val="en"/>
        </w:rPr>
        <w:t xml:space="preserve"> for more information on your EEO rights under the law.</w:t>
      </w:r>
    </w:p>
    <w:p w:rsidR="00984543" w:rsidRPr="00984543" w:rsidRDefault="00984543" w:rsidP="00984543">
      <w:pPr>
        <w:spacing w:line="240" w:lineRule="auto"/>
        <w:rPr>
          <w:rFonts w:ascii="Bliss" w:eastAsia="Times New Roman" w:hAnsi="Bliss" w:cs="Times New Roman"/>
          <w:color w:val="616568"/>
          <w:sz w:val="24"/>
          <w:szCs w:val="24"/>
          <w:lang w:val="en"/>
        </w:rPr>
      </w:pPr>
      <w:r w:rsidRPr="00984543">
        <w:rPr>
          <w:rFonts w:ascii="Bliss" w:eastAsia="Times New Roman" w:hAnsi="Bliss" w:cs="Times New Roman"/>
          <w:color w:val="616568"/>
          <w:sz w:val="24"/>
          <w:szCs w:val="24"/>
          <w:lang w:val="en"/>
        </w:rPr>
        <w:t>MIS and MSS Candidates are asked to disclose securities holdings pursuant to Moody’s Policy for Securities Trading. Employment is contingent upon compliance with the Policy, including remediation of positions in those holdings as necessary</w:t>
      </w:r>
    </w:p>
    <w:p w:rsidR="008F24FC" w:rsidRPr="00984543" w:rsidRDefault="00984543">
      <w:pPr>
        <w:rPr>
          <w:lang w:val="en"/>
        </w:rPr>
      </w:pPr>
    </w:p>
    <w:sectPr w:rsidR="008F24FC" w:rsidRPr="0098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lis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43"/>
    <w:rsid w:val="001B0CC9"/>
    <w:rsid w:val="00325838"/>
    <w:rsid w:val="0098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FE3A-CB73-4F35-A387-8B11881E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32602">
      <w:bodyDiv w:val="1"/>
      <w:marLeft w:val="0"/>
      <w:marRight w:val="0"/>
      <w:marTop w:val="0"/>
      <w:marBottom w:val="0"/>
      <w:divBdr>
        <w:top w:val="none" w:sz="0" w:space="0" w:color="auto"/>
        <w:left w:val="none" w:sz="0" w:space="0" w:color="auto"/>
        <w:bottom w:val="none" w:sz="0" w:space="0" w:color="auto"/>
        <w:right w:val="none" w:sz="0" w:space="0" w:color="auto"/>
      </w:divBdr>
      <w:divsChild>
        <w:div w:id="620918718">
          <w:marLeft w:val="0"/>
          <w:marRight w:val="0"/>
          <w:marTop w:val="0"/>
          <w:marBottom w:val="0"/>
          <w:divBdr>
            <w:top w:val="none" w:sz="0" w:space="0" w:color="auto"/>
            <w:left w:val="none" w:sz="0" w:space="0" w:color="auto"/>
            <w:bottom w:val="none" w:sz="0" w:space="0" w:color="auto"/>
            <w:right w:val="none" w:sz="0" w:space="0" w:color="auto"/>
          </w:divBdr>
          <w:divsChild>
            <w:div w:id="1605723788">
              <w:marLeft w:val="0"/>
              <w:marRight w:val="0"/>
              <w:marTop w:val="0"/>
              <w:marBottom w:val="0"/>
              <w:divBdr>
                <w:top w:val="none" w:sz="0" w:space="0" w:color="auto"/>
                <w:left w:val="none" w:sz="0" w:space="0" w:color="auto"/>
                <w:bottom w:val="none" w:sz="0" w:space="0" w:color="auto"/>
                <w:right w:val="none" w:sz="0" w:space="0" w:color="auto"/>
              </w:divBdr>
              <w:divsChild>
                <w:div w:id="153300196">
                  <w:marLeft w:val="0"/>
                  <w:marRight w:val="0"/>
                  <w:marTop w:val="300"/>
                  <w:marBottom w:val="300"/>
                  <w:divBdr>
                    <w:top w:val="none" w:sz="0" w:space="0" w:color="auto"/>
                    <w:left w:val="none" w:sz="0" w:space="0" w:color="auto"/>
                    <w:bottom w:val="none" w:sz="0" w:space="0" w:color="auto"/>
                    <w:right w:val="none" w:sz="0" w:space="0" w:color="auto"/>
                  </w:divBdr>
                  <w:divsChild>
                    <w:div w:id="1113666734">
                      <w:marLeft w:val="0"/>
                      <w:marRight w:val="0"/>
                      <w:marTop w:val="300"/>
                      <w:marBottom w:val="300"/>
                      <w:divBdr>
                        <w:top w:val="none" w:sz="0" w:space="0" w:color="auto"/>
                        <w:left w:val="none" w:sz="0" w:space="0" w:color="auto"/>
                        <w:bottom w:val="none" w:sz="0" w:space="0" w:color="auto"/>
                        <w:right w:val="none" w:sz="0" w:space="0" w:color="auto"/>
                      </w:divBdr>
                    </w:div>
                  </w:divsChild>
                </w:div>
                <w:div w:id="1619868036">
                  <w:marLeft w:val="0"/>
                  <w:marRight w:val="0"/>
                  <w:marTop w:val="300"/>
                  <w:marBottom w:val="300"/>
                  <w:divBdr>
                    <w:top w:val="none" w:sz="0" w:space="0" w:color="auto"/>
                    <w:left w:val="none" w:sz="0" w:space="0" w:color="auto"/>
                    <w:bottom w:val="none" w:sz="0" w:space="0" w:color="auto"/>
                    <w:right w:val="none" w:sz="0" w:space="0" w:color="auto"/>
                  </w:divBdr>
                  <w:divsChild>
                    <w:div w:id="1283733006">
                      <w:marLeft w:val="0"/>
                      <w:marRight w:val="0"/>
                      <w:marTop w:val="300"/>
                      <w:marBottom w:val="300"/>
                      <w:divBdr>
                        <w:top w:val="none" w:sz="0" w:space="0" w:color="auto"/>
                        <w:left w:val="none" w:sz="0" w:space="0" w:color="auto"/>
                        <w:bottom w:val="none" w:sz="0" w:space="0" w:color="auto"/>
                        <w:right w:val="none" w:sz="0" w:space="0" w:color="auto"/>
                      </w:divBdr>
                    </w:div>
                  </w:divsChild>
                </w:div>
                <w:div w:id="563293717">
                  <w:marLeft w:val="0"/>
                  <w:marRight w:val="0"/>
                  <w:marTop w:val="300"/>
                  <w:marBottom w:val="300"/>
                  <w:divBdr>
                    <w:top w:val="none" w:sz="0" w:space="0" w:color="auto"/>
                    <w:left w:val="none" w:sz="0" w:space="0" w:color="auto"/>
                    <w:bottom w:val="none" w:sz="0" w:space="0" w:color="auto"/>
                    <w:right w:val="none" w:sz="0" w:space="0" w:color="auto"/>
                  </w:divBdr>
                </w:div>
                <w:div w:id="1921021106">
                  <w:marLeft w:val="0"/>
                  <w:marRight w:val="0"/>
                  <w:marTop w:val="300"/>
                  <w:marBottom w:val="300"/>
                  <w:divBdr>
                    <w:top w:val="none" w:sz="0" w:space="0" w:color="auto"/>
                    <w:left w:val="none" w:sz="0" w:space="0" w:color="auto"/>
                    <w:bottom w:val="none" w:sz="0" w:space="0" w:color="auto"/>
                    <w:right w:val="none" w:sz="0" w:space="0" w:color="auto"/>
                  </w:divBdr>
                </w:div>
                <w:div w:id="220790791">
                  <w:marLeft w:val="0"/>
                  <w:marRight w:val="0"/>
                  <w:marTop w:val="300"/>
                  <w:marBottom w:val="300"/>
                  <w:divBdr>
                    <w:top w:val="none" w:sz="0" w:space="0" w:color="auto"/>
                    <w:left w:val="none" w:sz="0" w:space="0" w:color="auto"/>
                    <w:bottom w:val="none" w:sz="0" w:space="0" w:color="auto"/>
                    <w:right w:val="none" w:sz="0" w:space="0" w:color="auto"/>
                  </w:divBdr>
                </w:div>
                <w:div w:id="2283512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odys.com/sites/products/ProductAttachments/Careers/EEO%20is%20the%20Law%20Poster%20Engli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odys.com/sites/products/ProductAttachments/Careers/MCO%20EEO%20Letter%20Signed.pdf" TargetMode="External"/><Relationship Id="rId5" Type="http://schemas.openxmlformats.org/officeDocument/2006/relationships/hyperlink" Target="mailto:accommodations@moodys.com" TargetMode="External"/><Relationship Id="rId4" Type="http://schemas.openxmlformats.org/officeDocument/2006/relationships/hyperlink" Target="http://moody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Moody's Corporation</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Cheryl (non-empl)</dc:creator>
  <cp:keywords/>
  <dc:description/>
  <cp:lastModifiedBy>Gerber, Cheryl (non-empl)</cp:lastModifiedBy>
  <cp:revision>1</cp:revision>
  <dcterms:created xsi:type="dcterms:W3CDTF">2017-11-14T16:56:00Z</dcterms:created>
  <dcterms:modified xsi:type="dcterms:W3CDTF">2017-11-14T16:56:00Z</dcterms:modified>
</cp:coreProperties>
</file>