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9C" w:rsidRPr="003F279C" w:rsidRDefault="003F279C" w:rsidP="003F279C">
      <w:pPr>
        <w:shd w:val="clear" w:color="auto" w:fill="FFFFFF"/>
        <w:spacing w:after="0" w:line="240" w:lineRule="auto"/>
        <w:textAlignment w:val="baseline"/>
        <w:outlineLvl w:val="2"/>
        <w:rPr>
          <w:rFonts w:ascii="Georgia" w:eastAsia="Times New Roman" w:hAnsi="Georgia" w:cs="Times New Roman"/>
          <w:color w:val="252525"/>
          <w:sz w:val="35"/>
          <w:szCs w:val="35"/>
        </w:rPr>
      </w:pPr>
      <w:r w:rsidRPr="003F279C">
        <w:rPr>
          <w:rFonts w:ascii="Georgia" w:eastAsia="Times New Roman" w:hAnsi="Georgia" w:cs="Times New Roman"/>
          <w:color w:val="252525"/>
          <w:sz w:val="35"/>
          <w:szCs w:val="35"/>
        </w:rPr>
        <w:t xml:space="preserve">Howard </w:t>
      </w:r>
      <w:proofErr w:type="spellStart"/>
      <w:r w:rsidRPr="003F279C">
        <w:rPr>
          <w:rFonts w:ascii="Georgia" w:eastAsia="Times New Roman" w:hAnsi="Georgia" w:cs="Times New Roman"/>
          <w:color w:val="252525"/>
          <w:sz w:val="35"/>
          <w:szCs w:val="35"/>
        </w:rPr>
        <w:t>Sitzer</w:t>
      </w:r>
      <w:proofErr w:type="spellEnd"/>
    </w:p>
    <w:p w:rsidR="003F279C" w:rsidRDefault="003F279C" w:rsidP="003F279C">
      <w:pPr>
        <w:shd w:val="clear" w:color="auto" w:fill="FFFFFF"/>
        <w:spacing w:after="0" w:line="240" w:lineRule="auto"/>
        <w:textAlignment w:val="baseline"/>
        <w:rPr>
          <w:rFonts w:ascii="Arial" w:eastAsia="Times New Roman" w:hAnsi="Arial" w:cs="Arial"/>
          <w:i/>
          <w:iCs/>
          <w:color w:val="252525"/>
          <w:sz w:val="20"/>
          <w:szCs w:val="20"/>
        </w:rPr>
      </w:pPr>
      <w:r w:rsidRPr="003F279C">
        <w:rPr>
          <w:rFonts w:ascii="Arial" w:eastAsia="Times New Roman" w:hAnsi="Arial" w:cs="Arial"/>
          <w:i/>
          <w:iCs/>
          <w:color w:val="252525"/>
          <w:sz w:val="20"/>
          <w:szCs w:val="20"/>
        </w:rPr>
        <w:t>Senior Municipals Analyst</w:t>
      </w:r>
    </w:p>
    <w:p w:rsidR="003F279C" w:rsidRPr="003F279C" w:rsidRDefault="003F279C" w:rsidP="003F279C">
      <w:pPr>
        <w:shd w:val="clear" w:color="auto" w:fill="FFFFFF"/>
        <w:spacing w:after="0" w:line="240" w:lineRule="auto"/>
        <w:textAlignment w:val="baseline"/>
        <w:rPr>
          <w:rFonts w:ascii="Arial" w:eastAsia="Times New Roman" w:hAnsi="Arial" w:cs="Arial"/>
          <w:i/>
          <w:iCs/>
          <w:color w:val="252525"/>
          <w:sz w:val="20"/>
          <w:szCs w:val="20"/>
        </w:rPr>
      </w:pPr>
    </w:p>
    <w:p w:rsidR="003F279C" w:rsidRDefault="003F279C" w:rsidP="003F279C">
      <w:pPr>
        <w:shd w:val="clear" w:color="auto" w:fill="FFFFFF"/>
        <w:spacing w:after="0" w:line="240" w:lineRule="auto"/>
        <w:textAlignment w:val="baseline"/>
        <w:rPr>
          <w:rFonts w:ascii="Arial" w:eastAsia="Times New Roman" w:hAnsi="Arial" w:cs="Arial"/>
          <w:color w:val="252525"/>
          <w:sz w:val="20"/>
          <w:szCs w:val="20"/>
        </w:rPr>
      </w:pPr>
      <w:r w:rsidRPr="003F279C">
        <w:rPr>
          <w:rFonts w:ascii="Arial" w:eastAsia="Times New Roman" w:hAnsi="Arial" w:cs="Arial"/>
          <w:color w:val="252525"/>
          <w:sz w:val="20"/>
          <w:szCs w:val="20"/>
        </w:rPr>
        <w:t xml:space="preserve">Howard is </w:t>
      </w:r>
      <w:proofErr w:type="spellStart"/>
      <w:r w:rsidRPr="003F279C">
        <w:rPr>
          <w:rFonts w:ascii="Arial" w:eastAsia="Times New Roman" w:hAnsi="Arial" w:cs="Arial"/>
          <w:color w:val="252525"/>
          <w:sz w:val="20"/>
          <w:szCs w:val="20"/>
        </w:rPr>
        <w:t>CreditSights</w:t>
      </w:r>
      <w:proofErr w:type="spellEnd"/>
      <w:r w:rsidRPr="003F279C">
        <w:rPr>
          <w:rFonts w:ascii="Arial" w:eastAsia="Times New Roman" w:hAnsi="Arial" w:cs="Arial"/>
          <w:color w:val="252525"/>
          <w:sz w:val="20"/>
          <w:szCs w:val="20"/>
        </w:rPr>
        <w:t xml:space="preserve">' Senior Municipals Analyst. He has distinguished himself in municipal bond credit research specializing in both general market and high yield tax exempt municipals over the course of several decades. Prior to joining </w:t>
      </w:r>
      <w:proofErr w:type="spellStart"/>
      <w:r w:rsidRPr="003F279C">
        <w:rPr>
          <w:rFonts w:ascii="Arial" w:eastAsia="Times New Roman" w:hAnsi="Arial" w:cs="Arial"/>
          <w:color w:val="252525"/>
          <w:sz w:val="20"/>
          <w:szCs w:val="20"/>
        </w:rPr>
        <w:t>CreditSights</w:t>
      </w:r>
      <w:proofErr w:type="spellEnd"/>
      <w:r w:rsidRPr="003F279C">
        <w:rPr>
          <w:rFonts w:ascii="Arial" w:eastAsia="Times New Roman" w:hAnsi="Arial" w:cs="Arial"/>
          <w:color w:val="252525"/>
          <w:sz w:val="20"/>
          <w:szCs w:val="20"/>
        </w:rPr>
        <w:t xml:space="preserve">, Howard was a Director and Senior Municipal Strategist in the Securities Research Division at Bank of America Merrill Lynch and, over a limited tenure, was a trading desk analyst at Barclays, where he concentrated on health care. His career includes tours with L.F. Rothschild, Unterberg, </w:t>
      </w:r>
      <w:proofErr w:type="spellStart"/>
      <w:r w:rsidRPr="003F279C">
        <w:rPr>
          <w:rFonts w:ascii="Arial" w:eastAsia="Times New Roman" w:hAnsi="Arial" w:cs="Arial"/>
          <w:color w:val="252525"/>
          <w:sz w:val="20"/>
          <w:szCs w:val="20"/>
        </w:rPr>
        <w:t>Towbin</w:t>
      </w:r>
      <w:proofErr w:type="spellEnd"/>
      <w:r w:rsidRPr="003F279C">
        <w:rPr>
          <w:rFonts w:ascii="Arial" w:eastAsia="Times New Roman" w:hAnsi="Arial" w:cs="Arial"/>
          <w:color w:val="252525"/>
          <w:sz w:val="20"/>
          <w:szCs w:val="20"/>
        </w:rPr>
        <w:t xml:space="preserve">, Thomson McKinnon Securities, Greenwich Partners, Dain Bosworth and Herbert J. Sims &amp; Co. where he covered both general obligation and tax-backed bonds issued by state and local governments. He has covered a diverse array of revenue bond structures supporting public power, municipally-owned water and sewer utilities, airports, surface transportation, not-for-profit acute care hospitals, continuing care retirement communities, institutions for higher education, multi-family housing and subsidized low and moderate income housing loans, student loans, tobacco settlement asset securitizations, and public private partnerships. </w:t>
      </w:r>
    </w:p>
    <w:p w:rsidR="003F279C" w:rsidRDefault="003F279C" w:rsidP="003F279C">
      <w:pPr>
        <w:shd w:val="clear" w:color="auto" w:fill="FFFFFF"/>
        <w:spacing w:after="0" w:line="240" w:lineRule="auto"/>
        <w:textAlignment w:val="baseline"/>
        <w:rPr>
          <w:rFonts w:ascii="Arial" w:eastAsia="Times New Roman" w:hAnsi="Arial" w:cs="Arial"/>
          <w:color w:val="252525"/>
          <w:sz w:val="20"/>
          <w:szCs w:val="20"/>
        </w:rPr>
      </w:pPr>
    </w:p>
    <w:p w:rsidR="003F279C" w:rsidRPr="003F279C" w:rsidRDefault="003F279C" w:rsidP="003F279C">
      <w:pPr>
        <w:shd w:val="clear" w:color="auto" w:fill="FFFFFF"/>
        <w:spacing w:after="0" w:line="240" w:lineRule="auto"/>
        <w:textAlignment w:val="baseline"/>
        <w:rPr>
          <w:rFonts w:ascii="Arial" w:eastAsia="Times New Roman" w:hAnsi="Arial" w:cs="Arial"/>
          <w:color w:val="252525"/>
          <w:sz w:val="20"/>
          <w:szCs w:val="20"/>
        </w:rPr>
      </w:pPr>
      <w:bookmarkStart w:id="0" w:name="_GoBack"/>
      <w:bookmarkEnd w:id="0"/>
      <w:r w:rsidRPr="003F279C">
        <w:rPr>
          <w:rFonts w:ascii="Arial" w:eastAsia="Times New Roman" w:hAnsi="Arial" w:cs="Arial"/>
          <w:color w:val="252525"/>
          <w:sz w:val="20"/>
          <w:szCs w:val="20"/>
        </w:rPr>
        <w:t xml:space="preserve">Earlier in his career, Howard served as the public power specialist at Merrill Lynch, Pierce, </w:t>
      </w:r>
      <w:proofErr w:type="spellStart"/>
      <w:proofErr w:type="gramStart"/>
      <w:r w:rsidRPr="003F279C">
        <w:rPr>
          <w:rFonts w:ascii="Arial" w:eastAsia="Times New Roman" w:hAnsi="Arial" w:cs="Arial"/>
          <w:color w:val="252525"/>
          <w:sz w:val="20"/>
          <w:szCs w:val="20"/>
        </w:rPr>
        <w:t>Fenner</w:t>
      </w:r>
      <w:proofErr w:type="spellEnd"/>
      <w:proofErr w:type="gramEnd"/>
      <w:r w:rsidRPr="003F279C">
        <w:rPr>
          <w:rFonts w:ascii="Arial" w:eastAsia="Times New Roman" w:hAnsi="Arial" w:cs="Arial"/>
          <w:color w:val="252525"/>
          <w:sz w:val="20"/>
          <w:szCs w:val="20"/>
        </w:rPr>
        <w:t xml:space="preserve"> &amp; Smith where he authored a landmark report that forewarned of the default of the Washington Public Power Supply System, the largest municipal bond default of its era. He also worked in the taxable corporate bond sector on speculative grade credits as a ratings analyst at Moody's where he specialized in the high technology sector and, briefly, the steel and metals industries. Howard began his career with the Commonwealth of Massachusetts as a program and policy analyst with the Department of Community Affairs, where he served for a period as interim Director of the Bureau of Housing Management and Tenant Services. He holds SB and SM degrees in Political Science from the Massachusetts Institute of Technology where he studied public policy analysis.</w:t>
      </w:r>
    </w:p>
    <w:p w:rsidR="00BE1DD8" w:rsidRDefault="003F279C"/>
    <w:sectPr w:rsidR="00BE1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9C"/>
    <w:rsid w:val="002C1792"/>
    <w:rsid w:val="003F279C"/>
    <w:rsid w:val="00F4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27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79C"/>
    <w:rPr>
      <w:rFonts w:ascii="Times New Roman" w:eastAsia="Times New Roman" w:hAnsi="Times New Roman" w:cs="Times New Roman"/>
      <w:b/>
      <w:bCs/>
      <w:sz w:val="27"/>
      <w:szCs w:val="27"/>
    </w:rPr>
  </w:style>
  <w:style w:type="paragraph" w:customStyle="1" w:styleId="teamtitle">
    <w:name w:val="team_title"/>
    <w:basedOn w:val="Normal"/>
    <w:rsid w:val="003F27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27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27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79C"/>
    <w:rPr>
      <w:rFonts w:ascii="Times New Roman" w:eastAsia="Times New Roman" w:hAnsi="Times New Roman" w:cs="Times New Roman"/>
      <w:b/>
      <w:bCs/>
      <w:sz w:val="27"/>
      <w:szCs w:val="27"/>
    </w:rPr>
  </w:style>
  <w:style w:type="paragraph" w:customStyle="1" w:styleId="teamtitle">
    <w:name w:val="team_title"/>
    <w:basedOn w:val="Normal"/>
    <w:rsid w:val="003F27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27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FitchRatings Inc.</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2019-05-13T15:04:00Z</dcterms:created>
  <dcterms:modified xsi:type="dcterms:W3CDTF">2019-05-13T15:05:00Z</dcterms:modified>
</cp:coreProperties>
</file>