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25" w:rsidRDefault="008F3225" w:rsidP="008F3225">
      <w:r>
        <w:t xml:space="preserve">April </w:t>
      </w:r>
      <w:proofErr w:type="spellStart"/>
      <w:proofErr w:type="gramStart"/>
      <w:r>
        <w:t>Semilla</w:t>
      </w:r>
      <w:proofErr w:type="spellEnd"/>
      <w:r>
        <w:t>,</w:t>
      </w:r>
      <w:proofErr w:type="gramEnd"/>
      <w:r>
        <w:t xml:space="preserve"> is a Principal Consultant at IHS </w:t>
      </w:r>
      <w:proofErr w:type="spellStart"/>
      <w:r>
        <w:t>Markit</w:t>
      </w:r>
      <w:proofErr w:type="spellEnd"/>
      <w:r>
        <w:t>. She utilizes quantitative and qualitative research experience to provide actionable insight in the areas of health care policy impact, health workforce analysis, advanced medical technology, drug pricing and reimbursement strategy, global payer strategy, and value proposition development for pipeline drug products. She has supported the initiatives of a variety of clients, including the Health Resources and Services Administration (HRSA) of the federal government,</w:t>
      </w:r>
      <w:proofErr w:type="gramStart"/>
      <w:r>
        <w:t>  the</w:t>
      </w:r>
      <w:proofErr w:type="gramEnd"/>
      <w:r>
        <w:t xml:space="preserve"> Ministry of Health in Zambia, international agencies such as PEPFAR and CDC, as well as Fortune 500 companies. Ms. </w:t>
      </w:r>
      <w:proofErr w:type="spellStart"/>
      <w:r>
        <w:t>Semilla</w:t>
      </w:r>
      <w:proofErr w:type="spellEnd"/>
      <w:r>
        <w:t xml:space="preserve"> has conducted due diligence on proton therapy center municipal bond issues and has expertise in creating bespoke health impact assessment models that report the impacts of environmental or policy outcomes on health outcomes. She holds a </w:t>
      </w:r>
      <w:proofErr w:type="spellStart"/>
      <w:r>
        <w:t>Masters</w:t>
      </w:r>
      <w:proofErr w:type="spellEnd"/>
      <w:r>
        <w:t xml:space="preserve"> Degree in Health Policy and Clinical Studies from Dartmouth College.</w:t>
      </w:r>
    </w:p>
    <w:p w:rsidR="00BE1DD8" w:rsidRDefault="008F3225">
      <w:bookmarkStart w:id="0" w:name="_GoBack"/>
      <w:bookmarkEnd w:id="0"/>
    </w:p>
    <w:sectPr w:rsidR="00BE1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25"/>
    <w:rsid w:val="002C1792"/>
    <w:rsid w:val="008F3225"/>
    <w:rsid w:val="00F4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819</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FitchRatings Inc.</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2019-01-17T22:45:00Z</dcterms:created>
  <dcterms:modified xsi:type="dcterms:W3CDTF">2019-01-17T22:45:00Z</dcterms:modified>
</cp:coreProperties>
</file>