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84" w:rsidRDefault="00B839B3">
      <w:r>
        <w:rPr>
          <w:rFonts w:ascii="Verdana" w:hAnsi="Verdana" w:cs="Verdana"/>
          <w:color w:val="4C4C4C"/>
        </w:rPr>
        <w:t xml:space="preserve">Tom </w:t>
      </w:r>
      <w:proofErr w:type="spellStart"/>
      <w:r>
        <w:rPr>
          <w:rFonts w:ascii="Verdana" w:hAnsi="Verdana" w:cs="Verdana"/>
          <w:color w:val="4C4C4C"/>
        </w:rPr>
        <w:t>Weyl</w:t>
      </w:r>
      <w:proofErr w:type="spellEnd"/>
      <w:r>
        <w:rPr>
          <w:rFonts w:ascii="Verdana" w:hAnsi="Verdana" w:cs="Verdana"/>
          <w:color w:val="4C4C4C"/>
        </w:rPr>
        <w:t xml:space="preserve"> heads the municipal credit strategy and research group. He joined Barclays after sixteen years at Eaton Vance Management, where he served as Director of Municipal Research overseeing a staff of ten analysts. Tom has served in several prominent industry roles, such as Chairperson of the National Federation of Municipal Analysts, the Investment Company Institute’s representative to the Government Accounting Standards Advisory Council (GASAC) and a member of the invitation-only Society of Municipal Analysts. Prior to Eaton Vance, he developed municipal market experience in commercial banking, bond insurance, investment banking and portfolio management. He has a B.S. and M.B.A. from the University at Albany.</w:t>
      </w:r>
      <w:bookmarkStart w:id="0" w:name="_GoBack"/>
      <w:bookmarkEnd w:id="0"/>
    </w:p>
    <w:sectPr w:rsidR="00692884" w:rsidSect="002960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B3"/>
    <w:rsid w:val="00296029"/>
    <w:rsid w:val="00692884"/>
    <w:rsid w:val="00B83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9C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9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9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9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9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Macintosh Word</Application>
  <DocSecurity>0</DocSecurity>
  <Lines>5</Lines>
  <Paragraphs>1</Paragraphs>
  <ScaleCrop>false</ScaleCrop>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Hill</dc:creator>
  <cp:keywords/>
  <dc:description/>
  <cp:lastModifiedBy>Betsy Hill</cp:lastModifiedBy>
  <cp:revision>1</cp:revision>
  <cp:lastPrinted>2014-05-01T11:11:00Z</cp:lastPrinted>
  <dcterms:created xsi:type="dcterms:W3CDTF">2014-05-01T11:11:00Z</dcterms:created>
  <dcterms:modified xsi:type="dcterms:W3CDTF">2014-05-01T11:12:00Z</dcterms:modified>
</cp:coreProperties>
</file>